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none" w:sz="0" w:space="0" w:color="auto"/>
          <w:insideV w:val="none" w:sz="0" w:space="0" w:color="auto"/>
        </w:tblBorders>
        <w:tblLook w:val="04A0" w:firstRow="1" w:lastRow="0" w:firstColumn="1" w:lastColumn="0" w:noHBand="0" w:noVBand="1"/>
      </w:tblPr>
      <w:tblGrid>
        <w:gridCol w:w="2972"/>
        <w:gridCol w:w="7478"/>
      </w:tblGrid>
      <w:tr w:rsidR="00B20332" w14:paraId="7F5E8331" w14:textId="77777777" w:rsidTr="00830FB9">
        <w:trPr>
          <w:trHeight w:val="699"/>
        </w:trPr>
        <w:tc>
          <w:tcPr>
            <w:tcW w:w="10456" w:type="dxa"/>
            <w:gridSpan w:val="2"/>
            <w:tcBorders>
              <w:bottom w:val="nil"/>
            </w:tcBorders>
            <w:shd w:val="clear" w:color="auto" w:fill="D9D9D9" w:themeFill="background1" w:themeFillShade="D9"/>
          </w:tcPr>
          <w:p w14:paraId="50203A04" w14:textId="63D96E5D" w:rsidR="00B20332" w:rsidRPr="005305A6" w:rsidRDefault="00B20332" w:rsidP="005305A6">
            <w:pPr>
              <w:pStyle w:val="Heading1"/>
              <w:outlineLvl w:val="0"/>
            </w:pPr>
            <w:bookmarkStart w:id="0" w:name="_GoBack"/>
            <w:bookmarkEnd w:id="0"/>
            <w:r w:rsidRPr="005305A6">
              <w:t>VCE Ancient History Melbourne Excursion</w:t>
            </w:r>
          </w:p>
        </w:tc>
      </w:tr>
      <w:tr w:rsidR="00F2496D" w14:paraId="69EA5652" w14:textId="77777777" w:rsidTr="00943F87">
        <w:trPr>
          <w:trHeight w:val="4280"/>
        </w:trPr>
        <w:tc>
          <w:tcPr>
            <w:tcW w:w="2972" w:type="dxa"/>
            <w:tcBorders>
              <w:top w:val="nil"/>
              <w:bottom w:val="nil"/>
              <w:right w:val="single" w:sz="6" w:space="0" w:color="A6A6A6" w:themeColor="background1" w:themeShade="A6"/>
            </w:tcBorders>
          </w:tcPr>
          <w:p w14:paraId="67A85162" w14:textId="0B923C15" w:rsidR="00160E8C" w:rsidRDefault="00160E8C" w:rsidP="00C20EAE">
            <w:pPr>
              <w:pStyle w:val="Heading2"/>
              <w:outlineLvl w:val="1"/>
            </w:pPr>
            <w:r>
              <w:t>Before your excursion</w:t>
            </w:r>
          </w:p>
          <w:p w14:paraId="60164EE8" w14:textId="442722A6" w:rsidR="00160E8C" w:rsidRDefault="00160E8C" w:rsidP="00301A5C">
            <w:pPr>
              <w:pStyle w:val="ListParagraph"/>
              <w:numPr>
                <w:ilvl w:val="0"/>
                <w:numId w:val="1"/>
              </w:numPr>
              <w:ind w:left="313" w:hanging="284"/>
            </w:pPr>
            <w:r>
              <w:t xml:space="preserve">Book your tour at the Hellenic Museum on </w:t>
            </w:r>
            <w:r w:rsidRPr="00301A5C">
              <w:t>(03)</w:t>
            </w:r>
            <w:r>
              <w:t> </w:t>
            </w:r>
            <w:r w:rsidRPr="00301A5C">
              <w:t>8615</w:t>
            </w:r>
            <w:r>
              <w:t> </w:t>
            </w:r>
            <w:r w:rsidRPr="00301A5C">
              <w:t>9016</w:t>
            </w:r>
            <w:r>
              <w:t xml:space="preserve"> or </w:t>
            </w:r>
            <w:hyperlink r:id="rId8" w:history="1">
              <w:r w:rsidRPr="00704D2A">
                <w:rPr>
                  <w:rStyle w:val="Hyperlink"/>
                </w:rPr>
                <w:t>www.hellenic.org.au</w:t>
              </w:r>
            </w:hyperlink>
          </w:p>
          <w:p w14:paraId="095A9E26" w14:textId="6B8684A5" w:rsidR="00160E8C" w:rsidRDefault="00160E8C" w:rsidP="00301A5C">
            <w:pPr>
              <w:pStyle w:val="ListParagraph"/>
              <w:numPr>
                <w:ilvl w:val="0"/>
                <w:numId w:val="1"/>
              </w:numPr>
              <w:ind w:left="313" w:hanging="284"/>
            </w:pPr>
            <w:r>
              <w:t>Book your tour at the National Gallery of Victoria on (</w:t>
            </w:r>
            <w:r w:rsidRPr="00301A5C">
              <w:t>03</w:t>
            </w:r>
            <w:r>
              <w:t>) </w:t>
            </w:r>
            <w:r w:rsidRPr="00301A5C">
              <w:t>8620</w:t>
            </w:r>
            <w:r>
              <w:t> </w:t>
            </w:r>
            <w:r w:rsidRPr="00301A5C">
              <w:t>2340</w:t>
            </w:r>
            <w:r>
              <w:t xml:space="preserve"> or </w:t>
            </w:r>
            <w:hyperlink r:id="rId9" w:history="1">
              <w:r w:rsidRPr="00704D2A">
                <w:rPr>
                  <w:rStyle w:val="Hyperlink"/>
                </w:rPr>
                <w:t>www.ngv.vic.gov.au</w:t>
              </w:r>
            </w:hyperlink>
          </w:p>
          <w:p w14:paraId="2A244154" w14:textId="31BC50A8" w:rsidR="00160E8C" w:rsidRDefault="00160E8C" w:rsidP="00B20332">
            <w:r>
              <w:t xml:space="preserve">From </w:t>
            </w:r>
            <w:r w:rsidRPr="00762C3C">
              <w:t>mid-2020</w:t>
            </w:r>
            <w:r>
              <w:t xml:space="preserve">, you will also be able to </w:t>
            </w:r>
            <w:r w:rsidR="00B20332">
              <w:t>see Greek</w:t>
            </w:r>
            <w:r w:rsidR="005305A6">
              <w:t>,</w:t>
            </w:r>
            <w:r w:rsidR="00B20332">
              <w:t xml:space="preserve"> Near Eastern </w:t>
            </w:r>
            <w:r w:rsidR="005305A6">
              <w:t xml:space="preserve">and Egyptian </w:t>
            </w:r>
            <w:r w:rsidR="00B20332">
              <w:t xml:space="preserve">objects </w:t>
            </w:r>
            <w:r>
              <w:t>at the Ian Potter Museum of Art – (03) </w:t>
            </w:r>
            <w:r w:rsidRPr="00301A5C">
              <w:t>8344</w:t>
            </w:r>
            <w:r>
              <w:t> </w:t>
            </w:r>
            <w:r w:rsidRPr="00301A5C">
              <w:t>5148</w:t>
            </w:r>
            <w:r>
              <w:t xml:space="preserve"> or </w:t>
            </w:r>
            <w:hyperlink r:id="rId10" w:history="1">
              <w:r w:rsidRPr="00704D2A">
                <w:rPr>
                  <w:rStyle w:val="Hyperlink"/>
                </w:rPr>
                <w:t>www.art-museum.unimelb.edu.au/</w:t>
              </w:r>
            </w:hyperlink>
          </w:p>
          <w:p w14:paraId="391A83B9" w14:textId="12A89253" w:rsidR="00160E8C" w:rsidRDefault="00160E8C" w:rsidP="00C20EAE">
            <w:pPr>
              <w:pStyle w:val="Heading2"/>
              <w:outlineLvl w:val="1"/>
            </w:pPr>
            <w:r>
              <w:t>On the day</w:t>
            </w:r>
          </w:p>
          <w:p w14:paraId="21F89492" w14:textId="5A370499" w:rsidR="00160E8C" w:rsidRDefault="00160E8C" w:rsidP="00C20EAE">
            <w:r>
              <w:t>Catch</w:t>
            </w:r>
            <w:r w:rsidR="00762C3C">
              <w:t xml:space="preserve"> a</w:t>
            </w:r>
            <w:r>
              <w:t xml:space="preserve"> train from</w:t>
            </w:r>
          </w:p>
          <w:p w14:paraId="2FC13A92" w14:textId="0607D1F8" w:rsidR="00160E8C" w:rsidRDefault="00160E8C" w:rsidP="00C20EAE">
            <w:r>
              <w:t>____________at _________</w:t>
            </w:r>
          </w:p>
          <w:p w14:paraId="1D2F95C9" w14:textId="77777777" w:rsidR="00AE43CB" w:rsidRDefault="00160E8C" w:rsidP="00C20EAE">
            <w:r>
              <w:t xml:space="preserve">arriving at </w:t>
            </w:r>
            <w:r w:rsidR="00762C3C">
              <w:t>Flagstaff</w:t>
            </w:r>
            <w:r>
              <w:t xml:space="preserve"> Station at</w:t>
            </w:r>
          </w:p>
          <w:p w14:paraId="59BF6566" w14:textId="45920028" w:rsidR="00160E8C" w:rsidRDefault="00160E8C" w:rsidP="00C20EAE">
            <w:r>
              <w:t>____________.</w:t>
            </w:r>
          </w:p>
          <w:p w14:paraId="433653C0" w14:textId="3CE67FFB" w:rsidR="00160E8C" w:rsidRPr="00AE43CB" w:rsidRDefault="00AE43CB" w:rsidP="00C20EAE">
            <w:pPr>
              <w:rPr>
                <w:i/>
              </w:rPr>
            </w:pPr>
            <w:r w:rsidRPr="00AE43CB">
              <w:rPr>
                <w:i/>
              </w:rPr>
              <w:t>(</w:t>
            </w:r>
            <w:r w:rsidR="00762C3C" w:rsidRPr="00AE43CB">
              <w:rPr>
                <w:i/>
              </w:rPr>
              <w:t xml:space="preserve">If travelling from regional Victoria or some parts of Melbourne, you </w:t>
            </w:r>
            <w:r>
              <w:rPr>
                <w:i/>
              </w:rPr>
              <w:t>will</w:t>
            </w:r>
            <w:r w:rsidR="00762C3C" w:rsidRPr="00AE43CB">
              <w:rPr>
                <w:i/>
              </w:rPr>
              <w:t xml:space="preserve"> need to change trains at Southern Cross Station</w:t>
            </w:r>
            <w:r w:rsidR="00160E8C" w:rsidRPr="00AE43CB">
              <w:rPr>
                <w:i/>
              </w:rPr>
              <w:t>.</w:t>
            </w:r>
            <w:r w:rsidRPr="00AE43CB">
              <w:rPr>
                <w:i/>
              </w:rPr>
              <w:t>)</w:t>
            </w:r>
          </w:p>
          <w:p w14:paraId="7299D9BE" w14:textId="10636358" w:rsidR="00160E8C" w:rsidRDefault="00160E8C" w:rsidP="00C20EAE">
            <w:r>
              <w:t>The Hellenic Museum is opposite Flagstaff Station, at 280 William Street.</w:t>
            </w:r>
          </w:p>
          <w:p w14:paraId="29ABDBFB" w14:textId="77777777" w:rsidR="00160E8C" w:rsidRDefault="00160E8C" w:rsidP="00B20332">
            <w:r w:rsidRPr="00C20EAE">
              <w:rPr>
                <w:noProof/>
                <w:lang w:eastAsia="en-AU"/>
              </w:rPr>
              <w:drawing>
                <wp:inline distT="0" distB="0" distL="0" distR="0" wp14:anchorId="614C0D0E" wp14:editId="24C44214">
                  <wp:extent cx="1674495" cy="112560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842"/>
                          <a:stretch/>
                        </pic:blipFill>
                        <pic:spPr bwMode="auto">
                          <a:xfrm>
                            <a:off x="0" y="0"/>
                            <a:ext cx="1703782" cy="1145295"/>
                          </a:xfrm>
                          <a:prstGeom prst="rect">
                            <a:avLst/>
                          </a:prstGeom>
                          <a:ln>
                            <a:noFill/>
                          </a:ln>
                          <a:extLst>
                            <a:ext uri="{53640926-AAD7-44D8-BBD7-CCE9431645EC}">
                              <a14:shadowObscured xmlns:a14="http://schemas.microsoft.com/office/drawing/2010/main"/>
                            </a:ext>
                          </a:extLst>
                        </pic:spPr>
                      </pic:pic>
                    </a:graphicData>
                  </a:graphic>
                </wp:inline>
              </w:drawing>
            </w:r>
          </w:p>
          <w:p w14:paraId="4122F3D1" w14:textId="77777777" w:rsidR="0095127B" w:rsidRDefault="0095127B" w:rsidP="0095127B">
            <w:r>
              <w:t>Your tour will begin at</w:t>
            </w:r>
          </w:p>
          <w:p w14:paraId="1230A202" w14:textId="456A3227" w:rsidR="0095127B" w:rsidRDefault="0095127B" w:rsidP="00B20332">
            <w:r>
              <w:t>______________</w:t>
            </w:r>
          </w:p>
        </w:tc>
        <w:tc>
          <w:tcPr>
            <w:tcW w:w="7484" w:type="dxa"/>
            <w:vMerge w:val="restart"/>
            <w:tcBorders>
              <w:top w:val="nil"/>
              <w:left w:val="single" w:sz="6" w:space="0" w:color="A6A6A6" w:themeColor="background1" w:themeShade="A6"/>
              <w:bottom w:val="nil"/>
            </w:tcBorders>
          </w:tcPr>
          <w:p w14:paraId="57C7DE97" w14:textId="77777777" w:rsidR="00160E8C" w:rsidRDefault="00160E8C" w:rsidP="00301A5C">
            <w:pPr>
              <w:pStyle w:val="Heading2"/>
              <w:outlineLvl w:val="1"/>
            </w:pPr>
            <w:r>
              <w:t>Hellenic Museum</w:t>
            </w:r>
          </w:p>
          <w:p w14:paraId="5889D7DE" w14:textId="2C984B1B" w:rsidR="00160E8C" w:rsidRDefault="00160E8C" w:rsidP="00301A5C">
            <w:r>
              <w:t>The Hellenic Museum displays a collection of objects from ancient Greece that illustrate several key themes in the Ancient History study design.</w:t>
            </w:r>
          </w:p>
          <w:p w14:paraId="0D3A77CA" w14:textId="00DBDC9B" w:rsidR="00160E8C" w:rsidRDefault="00F2496D" w:rsidP="000D59F0">
            <w:pPr>
              <w:pStyle w:val="Heading3"/>
              <w:outlineLvl w:val="2"/>
            </w:pPr>
            <w:r>
              <w:rPr>
                <w:noProof/>
                <w:lang w:eastAsia="en-AU"/>
              </w:rPr>
              <w:drawing>
                <wp:anchor distT="0" distB="0" distL="114300" distR="114300" simplePos="0" relativeHeight="251661312" behindDoc="0" locked="0" layoutInCell="1" allowOverlap="1" wp14:anchorId="20A8DF73" wp14:editId="5CB025A7">
                  <wp:simplePos x="0" y="0"/>
                  <wp:positionH relativeFrom="column">
                    <wp:posOffset>3243580</wp:posOffset>
                  </wp:positionH>
                  <wp:positionV relativeFrom="paragraph">
                    <wp:posOffset>111125</wp:posOffset>
                  </wp:positionV>
                  <wp:extent cx="1419225" cy="1235075"/>
                  <wp:effectExtent l="0" t="0" r="952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235075"/>
                          </a:xfrm>
                          <a:prstGeom prst="rect">
                            <a:avLst/>
                          </a:prstGeom>
                          <a:noFill/>
                        </pic:spPr>
                      </pic:pic>
                    </a:graphicData>
                  </a:graphic>
                  <wp14:sizeRelH relativeFrom="margin">
                    <wp14:pctWidth>0</wp14:pctWidth>
                  </wp14:sizeRelH>
                  <wp14:sizeRelV relativeFrom="margin">
                    <wp14:pctHeight>0</wp14:pctHeight>
                  </wp14:sizeRelV>
                </wp:anchor>
              </w:drawing>
            </w:r>
            <w:r w:rsidR="00160E8C">
              <w:t>Bronze Age cultures</w:t>
            </w:r>
          </w:p>
          <w:p w14:paraId="152603C9" w14:textId="4D0E56FA" w:rsidR="00160E8C" w:rsidRDefault="00C55F1A" w:rsidP="00D47410">
            <w:r>
              <w:t xml:space="preserve">Minoan and Mycenaean </w:t>
            </w:r>
            <w:r w:rsidR="005305A6">
              <w:t xml:space="preserve">objects in the collection </w:t>
            </w:r>
            <w:r>
              <w:t xml:space="preserve">illustrate the wealth and sophistication of </w:t>
            </w:r>
            <w:r w:rsidR="005305A6">
              <w:t>Greece’s</w:t>
            </w:r>
            <w:r>
              <w:t xml:space="preserve"> Bronze Age cultures</w:t>
            </w:r>
            <w:r w:rsidR="00DA3606">
              <w:t>. This can be seen particularly in a</w:t>
            </w:r>
            <w:r w:rsidR="00D367AF">
              <w:t xml:space="preserve"> finely crafted</w:t>
            </w:r>
            <w:r w:rsidR="00DA3606">
              <w:t xml:space="preserve"> Mycenaean gold necklace</w:t>
            </w:r>
            <w:r w:rsidR="00D367AF">
              <w:t xml:space="preserve"> and cup</w:t>
            </w:r>
            <w:r w:rsidR="00DA3606">
              <w:t>.</w:t>
            </w:r>
            <w:r w:rsidR="00D47410">
              <w:t xml:space="preserve"> Though Mycenaean and Minoan society </w:t>
            </w:r>
            <w:r>
              <w:t>catastrophic</w:t>
            </w:r>
            <w:r w:rsidR="00D47410">
              <w:t>ally</w:t>
            </w:r>
            <w:r>
              <w:t xml:space="preserve"> collapse</w:t>
            </w:r>
            <w:r w:rsidR="00D47410">
              <w:t>d</w:t>
            </w:r>
            <w:r>
              <w:t xml:space="preserve"> in the 11</w:t>
            </w:r>
            <w:r w:rsidRPr="00C55F1A">
              <w:rPr>
                <w:vertAlign w:val="superscript"/>
              </w:rPr>
              <w:t>th</w:t>
            </w:r>
            <w:r>
              <w:t xml:space="preserve"> century BCE</w:t>
            </w:r>
            <w:r w:rsidR="00D47410">
              <w:t xml:space="preserve">, cultural memories of these times were </w:t>
            </w:r>
            <w:r w:rsidR="00D367AF">
              <w:t xml:space="preserve">partly </w:t>
            </w:r>
            <w:r w:rsidR="00D47410">
              <w:t xml:space="preserve">preserved in the world of Greek myth </w:t>
            </w:r>
            <w:r w:rsidR="00D367AF">
              <w:t>during</w:t>
            </w:r>
            <w:r w:rsidR="00D47410">
              <w:t xml:space="preserve"> the ensuing Dark Age.</w:t>
            </w:r>
          </w:p>
          <w:p w14:paraId="12B73A3D" w14:textId="3DFE3D19" w:rsidR="00160E8C" w:rsidRDefault="00160E8C" w:rsidP="000D59F0">
            <w:pPr>
              <w:pStyle w:val="Heading3"/>
              <w:outlineLvl w:val="2"/>
            </w:pPr>
            <w:r>
              <w:t>The development of ancient Greece</w:t>
            </w:r>
          </w:p>
          <w:p w14:paraId="5B9E1151" w14:textId="720154CA" w:rsidR="00160E8C" w:rsidRDefault="00D367AF" w:rsidP="00301A5C">
            <w:r w:rsidRPr="00F2496D">
              <w:rPr>
                <w:noProof/>
                <w:lang w:eastAsia="en-AU"/>
              </w:rPr>
              <w:drawing>
                <wp:anchor distT="0" distB="0" distL="114300" distR="114300" simplePos="0" relativeHeight="251662336" behindDoc="1" locked="0" layoutInCell="1" allowOverlap="1" wp14:anchorId="33BBAE55" wp14:editId="72229428">
                  <wp:simplePos x="0" y="0"/>
                  <wp:positionH relativeFrom="column">
                    <wp:posOffset>26670</wp:posOffset>
                  </wp:positionH>
                  <wp:positionV relativeFrom="paragraph">
                    <wp:posOffset>36195</wp:posOffset>
                  </wp:positionV>
                  <wp:extent cx="1432560" cy="801370"/>
                  <wp:effectExtent l="0" t="0" r="0" b="0"/>
                  <wp:wrapSquare wrapText="bothSides"/>
                  <wp:docPr id="7" name="Picture 6">
                    <a:extLst xmlns:a="http://schemas.openxmlformats.org/drawingml/2006/main">
                      <a:ext uri="{FF2B5EF4-FFF2-40B4-BE49-F238E27FC236}">
                        <a16:creationId xmlns:a16="http://schemas.microsoft.com/office/drawing/2014/main" id="{6DEF09F5-CE18-40D2-B5DC-EBCA8223E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DEF09F5-CE18-40D2-B5DC-EBCA8223E2BF}"/>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12981" t="61110" r="18699" b="-1"/>
                          <a:stretch/>
                        </pic:blipFill>
                        <pic:spPr bwMode="auto">
                          <a:xfrm>
                            <a:off x="0" y="0"/>
                            <a:ext cx="143256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8C">
              <w:t>Two geometric vases from the 8</w:t>
            </w:r>
            <w:r w:rsidR="00160E8C" w:rsidRPr="009B1FB2">
              <w:rPr>
                <w:vertAlign w:val="superscript"/>
              </w:rPr>
              <w:t>th</w:t>
            </w:r>
            <w:r w:rsidR="00160E8C">
              <w:t xml:space="preserve"> and 7</w:t>
            </w:r>
            <w:r w:rsidR="00160E8C" w:rsidRPr="009B1FB2">
              <w:rPr>
                <w:vertAlign w:val="superscript"/>
              </w:rPr>
              <w:t>th</w:t>
            </w:r>
            <w:r w:rsidR="00160E8C">
              <w:t xml:space="preserve"> centuries </w:t>
            </w:r>
            <w:r>
              <w:t xml:space="preserve">BCE </w:t>
            </w:r>
            <w:r w:rsidR="00160E8C">
              <w:t>illustrate the period w</w:t>
            </w:r>
            <w:r w:rsidR="00D47410">
              <w:t>hen</w:t>
            </w:r>
            <w:r w:rsidR="00160E8C">
              <w:t xml:space="preserve"> Greek culture was developing out of the Dark Age. The decoration of these vases (referred to as ‘geometric’) is relatively simple, consisting of geometric patterns and </w:t>
            </w:r>
            <w:r>
              <w:t>basic</w:t>
            </w:r>
            <w:r w:rsidR="00160E8C">
              <w:t xml:space="preserve"> figures.</w:t>
            </w:r>
          </w:p>
          <w:p w14:paraId="5E268A65" w14:textId="51061393" w:rsidR="00D367AF" w:rsidRDefault="00337CAB" w:rsidP="00160E8C">
            <w:r>
              <w:rPr>
                <w:noProof/>
                <w:lang w:eastAsia="en-AU"/>
              </w:rPr>
              <w:drawing>
                <wp:anchor distT="0" distB="0" distL="114300" distR="114300" simplePos="0" relativeHeight="251658240" behindDoc="0" locked="0" layoutInCell="1" allowOverlap="1" wp14:anchorId="0D75CF0A" wp14:editId="1F4E06A3">
                  <wp:simplePos x="0" y="0"/>
                  <wp:positionH relativeFrom="column">
                    <wp:posOffset>3158821</wp:posOffset>
                  </wp:positionH>
                  <wp:positionV relativeFrom="paragraph">
                    <wp:posOffset>65756</wp:posOffset>
                  </wp:positionV>
                  <wp:extent cx="1513840" cy="10083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84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E8C">
              <w:t xml:space="preserve">These vases can be contrasted with </w:t>
            </w:r>
            <w:r w:rsidR="00B2362A">
              <w:t xml:space="preserve">later </w:t>
            </w:r>
            <w:r w:rsidR="00160E8C">
              <w:t xml:space="preserve">vases, </w:t>
            </w:r>
            <w:r w:rsidR="00D367AF">
              <w:t xml:space="preserve">with </w:t>
            </w:r>
            <w:r w:rsidR="00160E8C">
              <w:t xml:space="preserve">more detailed and life-like </w:t>
            </w:r>
            <w:r w:rsidR="00D367AF">
              <w:t>figures</w:t>
            </w:r>
            <w:r w:rsidR="00B2362A">
              <w:t xml:space="preserve">, reflecting </w:t>
            </w:r>
            <w:r w:rsidR="00D367AF">
              <w:t xml:space="preserve">the </w:t>
            </w:r>
            <w:r w:rsidR="00B2362A">
              <w:t>further development of Greek society</w:t>
            </w:r>
            <w:r w:rsidR="00F135C9">
              <w:t xml:space="preserve"> and changing styles</w:t>
            </w:r>
            <w:r w:rsidR="00B2362A">
              <w:t>.</w:t>
            </w:r>
          </w:p>
          <w:p w14:paraId="55B4FF99" w14:textId="48BE2A14" w:rsidR="00160E8C" w:rsidRDefault="00B2362A" w:rsidP="00F135C9">
            <w:r>
              <w:t>The collection includes vases from Attica, Corinth</w:t>
            </w:r>
            <w:r w:rsidR="00F135C9">
              <w:t xml:space="preserve"> and South Italy. Each of these areas has its own distinct style of vase decoration. This illustrates the independence and cultural variation of the ancient Greek city-states</w:t>
            </w:r>
            <w:r w:rsidR="00D47410">
              <w:t>.</w:t>
            </w:r>
          </w:p>
          <w:p w14:paraId="07D59938" w14:textId="64E9E7A9" w:rsidR="00160E8C" w:rsidRDefault="00160E8C" w:rsidP="000D59F0">
            <w:pPr>
              <w:pStyle w:val="Heading3"/>
              <w:outlineLvl w:val="2"/>
            </w:pPr>
            <w:r>
              <w:t>The Athenian economy</w:t>
            </w:r>
          </w:p>
          <w:p w14:paraId="68C3BD7D" w14:textId="6AE6CA17" w:rsidR="00160E8C" w:rsidRDefault="00F2496D" w:rsidP="00301A5C">
            <w:r>
              <w:rPr>
                <w:noProof/>
                <w:lang w:eastAsia="en-AU"/>
              </w:rPr>
              <w:drawing>
                <wp:anchor distT="0" distB="0" distL="114300" distR="114300" simplePos="0" relativeHeight="251660288" behindDoc="0" locked="0" layoutInCell="1" allowOverlap="1" wp14:anchorId="53FC81AD" wp14:editId="0A8EE030">
                  <wp:simplePos x="0" y="0"/>
                  <wp:positionH relativeFrom="column">
                    <wp:posOffset>46990</wp:posOffset>
                  </wp:positionH>
                  <wp:positionV relativeFrom="paragraph">
                    <wp:posOffset>42545</wp:posOffset>
                  </wp:positionV>
                  <wp:extent cx="1029970" cy="15036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86" b="8960"/>
                          <a:stretch/>
                        </pic:blipFill>
                        <pic:spPr bwMode="auto">
                          <a:xfrm>
                            <a:off x="0" y="0"/>
                            <a:ext cx="102997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E8C">
              <w:t xml:space="preserve">Athens relied heavily on imports to feed its population. Athens had to sell goods in return, to pay for the imports. One of </w:t>
            </w:r>
            <w:r w:rsidR="0039207B">
              <w:t>Athens’ most visible</w:t>
            </w:r>
            <w:r w:rsidR="00160E8C">
              <w:t xml:space="preserve"> exports was pottery </w:t>
            </w:r>
            <w:r w:rsidR="0039207B">
              <w:t>–</w:t>
            </w:r>
            <w:r w:rsidR="00160E8C">
              <w:t xml:space="preserve"> Attic pottery has been found </w:t>
            </w:r>
            <w:r w:rsidR="0039207B">
              <w:t>all around</w:t>
            </w:r>
            <w:r w:rsidR="00160E8C">
              <w:t xml:space="preserve"> the Mediterranean, especially </w:t>
            </w:r>
            <w:r w:rsidR="0039207B">
              <w:t xml:space="preserve">in </w:t>
            </w:r>
            <w:r w:rsidR="00160E8C">
              <w:t xml:space="preserve">Italy. </w:t>
            </w:r>
            <w:r w:rsidR="0039207B">
              <w:t>As an example of this, t</w:t>
            </w:r>
            <w:r w:rsidR="00160E8C">
              <w:t xml:space="preserve">he Hellenic Museum’s collection includes a fine Nolan amphora, a design </w:t>
            </w:r>
            <w:r w:rsidR="0039207B">
              <w:t>regularly exported to Italy</w:t>
            </w:r>
            <w:r w:rsidR="00160E8C">
              <w:t>.</w:t>
            </w:r>
          </w:p>
          <w:p w14:paraId="744253A8" w14:textId="787EEE2F" w:rsidR="00160E8C" w:rsidRDefault="00160E8C" w:rsidP="00301A5C">
            <w:r>
              <w:t>A major boost to Athens’ economy came from the discovery of silver ore deposits in 483 BCE. Several Athenian silver coins in the collection attest to this source of wealth.</w:t>
            </w:r>
          </w:p>
          <w:p w14:paraId="795B935E" w14:textId="3B332BB8" w:rsidR="00160E8C" w:rsidRDefault="001C1A93" w:rsidP="00301A5C">
            <w:r w:rsidRPr="00337CAB">
              <w:rPr>
                <w:noProof/>
                <w:lang w:eastAsia="en-AU"/>
              </w:rPr>
              <w:drawing>
                <wp:anchor distT="0" distB="0" distL="114300" distR="114300" simplePos="0" relativeHeight="251659264" behindDoc="0" locked="0" layoutInCell="1" allowOverlap="1" wp14:anchorId="37465443" wp14:editId="3F3EBB2B">
                  <wp:simplePos x="0" y="0"/>
                  <wp:positionH relativeFrom="column">
                    <wp:posOffset>3193415</wp:posOffset>
                  </wp:positionH>
                  <wp:positionV relativeFrom="paragraph">
                    <wp:posOffset>23495</wp:posOffset>
                  </wp:positionV>
                  <wp:extent cx="1394460" cy="2333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4460" cy="2333625"/>
                          </a:xfrm>
                          <a:prstGeom prst="rect">
                            <a:avLst/>
                          </a:prstGeom>
                        </pic:spPr>
                      </pic:pic>
                    </a:graphicData>
                  </a:graphic>
                  <wp14:sizeRelH relativeFrom="page">
                    <wp14:pctWidth>0</wp14:pctWidth>
                  </wp14:sizeRelH>
                  <wp14:sizeRelV relativeFrom="page">
                    <wp14:pctHeight>0</wp14:pctHeight>
                  </wp14:sizeRelV>
                </wp:anchor>
              </w:drawing>
            </w:r>
            <w:r w:rsidR="0039207B">
              <w:t>In the later 5</w:t>
            </w:r>
            <w:r w:rsidR="0039207B" w:rsidRPr="0039207B">
              <w:rPr>
                <w:vertAlign w:val="superscript"/>
              </w:rPr>
              <w:t>th</w:t>
            </w:r>
            <w:r w:rsidR="0039207B">
              <w:t xml:space="preserve"> century, tribute from members of the Athenian Empire became another important source of revenue for Athens. This wealth </w:t>
            </w:r>
            <w:r w:rsidR="00111B61">
              <w:t xml:space="preserve">facilitated a building program instituted by the statesman Pericles, which included the Parthenon. Inside the Parthenon, stood a giant gold and ivory statue of the goddess Athena. A statuette at the Hellenic Museum was modelled on that statue and gives us a chance to engage with </w:t>
            </w:r>
            <w:r>
              <w:t>the Periclean building program.</w:t>
            </w:r>
          </w:p>
          <w:p w14:paraId="6E89922D" w14:textId="0350E9C7" w:rsidR="00160E8C" w:rsidRDefault="00160E8C" w:rsidP="000D59F0">
            <w:pPr>
              <w:pStyle w:val="Heading3"/>
              <w:outlineLvl w:val="2"/>
            </w:pPr>
            <w:r>
              <w:t>The importance of religion</w:t>
            </w:r>
          </w:p>
          <w:p w14:paraId="2C330059" w14:textId="77777777" w:rsidR="00160E8C" w:rsidRDefault="006E3B90" w:rsidP="00B20332">
            <w:r>
              <w:t>T</w:t>
            </w:r>
            <w:r w:rsidR="00160E8C">
              <w:t xml:space="preserve">he prevalence </w:t>
            </w:r>
            <w:r>
              <w:t xml:space="preserve">and significance </w:t>
            </w:r>
            <w:r w:rsidR="00160E8C">
              <w:t>of religion in the daily lives of the ancient Greeks</w:t>
            </w:r>
            <w:r>
              <w:t xml:space="preserve"> </w:t>
            </w:r>
            <w:r w:rsidR="00160E8C">
              <w:t>can be seen in the wide variety of objects featuring depictions of the gods</w:t>
            </w:r>
            <w:r>
              <w:t>. This</w:t>
            </w:r>
            <w:r w:rsidR="00160E8C">
              <w:t xml:space="preserve"> includ</w:t>
            </w:r>
            <w:r>
              <w:t>es</w:t>
            </w:r>
            <w:r w:rsidR="00160E8C">
              <w:t xml:space="preserve"> crockery, a mirror, jewellery and coins, as well as stand-alone statuettes.</w:t>
            </w:r>
          </w:p>
          <w:p w14:paraId="6EC3D5B4" w14:textId="09283B0D" w:rsidR="00DD67D6" w:rsidRPr="00DD67D6" w:rsidRDefault="00DD67D6" w:rsidP="00B20332">
            <w:pPr>
              <w:rPr>
                <w:i/>
              </w:rPr>
            </w:pPr>
            <w:r w:rsidRPr="00DD67D6">
              <w:rPr>
                <w:i/>
              </w:rPr>
              <w:t>Images © Benaki Museum</w:t>
            </w:r>
            <w:r w:rsidR="00E52D5B">
              <w:rPr>
                <w:i/>
              </w:rPr>
              <w:t>, Athens</w:t>
            </w:r>
          </w:p>
        </w:tc>
      </w:tr>
      <w:tr w:rsidR="00F2496D" w14:paraId="58D436BE" w14:textId="77777777" w:rsidTr="00830FB9">
        <w:trPr>
          <w:trHeight w:val="1898"/>
        </w:trPr>
        <w:tc>
          <w:tcPr>
            <w:tcW w:w="2972" w:type="dxa"/>
            <w:tcBorders>
              <w:top w:val="nil"/>
              <w:bottom w:val="single" w:sz="6" w:space="0" w:color="A6A6A6" w:themeColor="background1" w:themeShade="A6"/>
              <w:right w:val="single" w:sz="6" w:space="0" w:color="A6A6A6" w:themeColor="background1" w:themeShade="A6"/>
            </w:tcBorders>
          </w:tcPr>
          <w:p w14:paraId="35E879ED" w14:textId="77777777" w:rsidR="00160E8C" w:rsidRDefault="00160E8C" w:rsidP="00C20EAE">
            <w:pPr>
              <w:pStyle w:val="Heading2"/>
              <w:outlineLvl w:val="1"/>
            </w:pPr>
            <w:r>
              <w:t>Events at the Hellenic Museum</w:t>
            </w:r>
          </w:p>
          <w:p w14:paraId="57426F75" w14:textId="6A0704AA" w:rsidR="00160E8C" w:rsidRPr="00160E8C" w:rsidRDefault="00160E8C" w:rsidP="00160E8C">
            <w:r>
              <w:t>The Hellenic Museum offers a variety of events through the year relating to Greek culture, both ancient and modern.</w:t>
            </w:r>
            <w:r w:rsidR="00F26ED5">
              <w:t xml:space="preserve"> These include a summer school each January, which explores different aspects of ancient history and is ideal for teachers and advanced students.</w:t>
            </w:r>
          </w:p>
        </w:tc>
        <w:tc>
          <w:tcPr>
            <w:tcW w:w="7484" w:type="dxa"/>
            <w:vMerge/>
            <w:tcBorders>
              <w:top w:val="nil"/>
              <w:left w:val="single" w:sz="6" w:space="0" w:color="A6A6A6" w:themeColor="background1" w:themeShade="A6"/>
              <w:bottom w:val="single" w:sz="6" w:space="0" w:color="A6A6A6" w:themeColor="background1" w:themeShade="A6"/>
            </w:tcBorders>
          </w:tcPr>
          <w:p w14:paraId="2ABABC3D" w14:textId="77777777" w:rsidR="00160E8C" w:rsidRDefault="00160E8C" w:rsidP="00301A5C">
            <w:pPr>
              <w:pStyle w:val="Heading2"/>
              <w:outlineLvl w:val="1"/>
            </w:pPr>
          </w:p>
        </w:tc>
      </w:tr>
      <w:tr w:rsidR="003C5095" w14:paraId="410828B7" w14:textId="77777777" w:rsidTr="00830FB9">
        <w:trPr>
          <w:trHeight w:val="9056"/>
        </w:trPr>
        <w:tc>
          <w:tcPr>
            <w:tcW w:w="2972" w:type="dxa"/>
            <w:tcBorders>
              <w:top w:val="single" w:sz="6" w:space="0" w:color="A6A6A6" w:themeColor="background1" w:themeShade="A6"/>
              <w:bottom w:val="nil"/>
              <w:right w:val="single" w:sz="6" w:space="0" w:color="A6A6A6" w:themeColor="background1" w:themeShade="A6"/>
            </w:tcBorders>
          </w:tcPr>
          <w:p w14:paraId="6A55A424" w14:textId="68BE1BF3" w:rsidR="00160E8C" w:rsidRDefault="00160E8C" w:rsidP="00FE75AA">
            <w:pPr>
              <w:pStyle w:val="Heading2"/>
              <w:outlineLvl w:val="1"/>
            </w:pPr>
            <w:r>
              <w:lastRenderedPageBreak/>
              <w:t>Getting from the Hellenic Museum to the National Gallery of Victoria</w:t>
            </w:r>
          </w:p>
          <w:p w14:paraId="065733E0" w14:textId="1BBE6C26" w:rsidR="00160E8C" w:rsidRDefault="00160E8C" w:rsidP="00153846">
            <w:r>
              <w:t>Return to Flagstaff Station and catch a train to Flinders Street Station</w:t>
            </w:r>
          </w:p>
          <w:p w14:paraId="7347B6EF" w14:textId="4F95A8A2" w:rsidR="00160E8C" w:rsidRDefault="00160E8C" w:rsidP="00AE15F8">
            <w:pPr>
              <w:tabs>
                <w:tab w:val="right" w:pos="2567"/>
              </w:tabs>
            </w:pPr>
            <w:r>
              <w:t>departing at</w:t>
            </w:r>
            <w:r>
              <w:tab/>
              <w:t>_____________</w:t>
            </w:r>
          </w:p>
          <w:p w14:paraId="040B7C10" w14:textId="0073D689" w:rsidR="00160E8C" w:rsidRDefault="00160E8C" w:rsidP="00AE15F8">
            <w:pPr>
              <w:tabs>
                <w:tab w:val="right" w:pos="2567"/>
              </w:tabs>
            </w:pPr>
            <w:r>
              <w:t>arriving at</w:t>
            </w:r>
            <w:r>
              <w:tab/>
              <w:t>_____________</w:t>
            </w:r>
          </w:p>
          <w:p w14:paraId="7AD17C4E" w14:textId="07BFF42D" w:rsidR="00160E8C" w:rsidRPr="00762C3C" w:rsidRDefault="00160E8C" w:rsidP="00153846">
            <w:pPr>
              <w:rPr>
                <w:i/>
              </w:rPr>
            </w:pPr>
            <w:r w:rsidRPr="00762C3C">
              <w:rPr>
                <w:i/>
              </w:rPr>
              <w:t>(</w:t>
            </w:r>
            <w:r w:rsidR="005305A6">
              <w:rPr>
                <w:i/>
              </w:rPr>
              <w:t>N</w:t>
            </w:r>
            <w:r w:rsidRPr="00762C3C">
              <w:rPr>
                <w:i/>
              </w:rPr>
              <w:t>ote: the last train to Flinders Street Station leaves Flagstaff at 12.49 pm – if travelling later than this, you will need to go by tram</w:t>
            </w:r>
            <w:r w:rsidR="005305A6">
              <w:rPr>
                <w:i/>
              </w:rPr>
              <w:t>.</w:t>
            </w:r>
            <w:r w:rsidRPr="00762C3C">
              <w:rPr>
                <w:i/>
              </w:rPr>
              <w:t>)</w:t>
            </w:r>
          </w:p>
          <w:p w14:paraId="54C263D2" w14:textId="614DECB2" w:rsidR="00160E8C" w:rsidRDefault="00160E8C" w:rsidP="00153846">
            <w:r>
              <w:t>On the train trip, you will pass by the Immigration Museum – details of this building were modelled on the Erecht</w:t>
            </w:r>
            <w:r w:rsidR="00762C3C">
              <w:t>h</w:t>
            </w:r>
            <w:r>
              <w:t>eion, one of the 5</w:t>
            </w:r>
            <w:r w:rsidRPr="00FE38B5">
              <w:rPr>
                <w:vertAlign w:val="superscript"/>
              </w:rPr>
              <w:t>th</w:t>
            </w:r>
            <w:r>
              <w:t xml:space="preserve"> century BCE buildings on the Athenian Acropolis.</w:t>
            </w:r>
          </w:p>
          <w:p w14:paraId="7286E293" w14:textId="479907D2" w:rsidR="00160E8C" w:rsidRDefault="00160E8C" w:rsidP="00153846">
            <w:r>
              <w:t xml:space="preserve">Walk from Flinders Street Station to the </w:t>
            </w:r>
            <w:r w:rsidR="00762C3C">
              <w:t>NGV</w:t>
            </w:r>
            <w:r>
              <w:t xml:space="preserve">, at </w:t>
            </w:r>
            <w:r w:rsidRPr="00FE75AA">
              <w:t>180</w:t>
            </w:r>
            <w:r w:rsidR="00762C3C">
              <w:t> </w:t>
            </w:r>
            <w:r w:rsidRPr="00FE75AA">
              <w:t>St</w:t>
            </w:r>
            <w:r w:rsidR="00762C3C">
              <w:t> </w:t>
            </w:r>
            <w:r w:rsidRPr="00FE75AA">
              <w:t>Kilda Road</w:t>
            </w:r>
            <w:r>
              <w:t>.</w:t>
            </w:r>
          </w:p>
          <w:p w14:paraId="0DAA5A39" w14:textId="0EB40B80" w:rsidR="00160E8C" w:rsidRDefault="00160E8C" w:rsidP="00153846">
            <w:r>
              <w:rPr>
                <w:noProof/>
                <w:lang w:eastAsia="en-AU"/>
              </w:rPr>
              <w:drawing>
                <wp:inline distT="0" distB="0" distL="0" distR="0" wp14:anchorId="2C29DFB4" wp14:editId="67ADBF97">
                  <wp:extent cx="1602564" cy="1068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5216" cy="1083115"/>
                          </a:xfrm>
                          <a:prstGeom prst="rect">
                            <a:avLst/>
                          </a:prstGeom>
                        </pic:spPr>
                      </pic:pic>
                    </a:graphicData>
                  </a:graphic>
                </wp:inline>
              </w:drawing>
            </w:r>
          </w:p>
          <w:p w14:paraId="3E268D44" w14:textId="22F2CB77" w:rsidR="00160E8C" w:rsidRDefault="00080DB9" w:rsidP="00153846">
            <w:r>
              <w:t>Your tour will begin at</w:t>
            </w:r>
          </w:p>
          <w:p w14:paraId="577449A7" w14:textId="116599D4" w:rsidR="00080DB9" w:rsidRDefault="00080DB9" w:rsidP="00153846">
            <w:r>
              <w:t>______________</w:t>
            </w:r>
          </w:p>
          <w:p w14:paraId="3BAF1804" w14:textId="77777777" w:rsidR="00160E8C" w:rsidRDefault="00160E8C" w:rsidP="00153846"/>
        </w:tc>
        <w:tc>
          <w:tcPr>
            <w:tcW w:w="7484" w:type="dxa"/>
            <w:vMerge w:val="restart"/>
            <w:tcBorders>
              <w:top w:val="single" w:sz="6" w:space="0" w:color="A6A6A6" w:themeColor="background1" w:themeShade="A6"/>
              <w:left w:val="single" w:sz="6" w:space="0" w:color="A6A6A6" w:themeColor="background1" w:themeShade="A6"/>
              <w:bottom w:val="nil"/>
            </w:tcBorders>
          </w:tcPr>
          <w:p w14:paraId="4739199C" w14:textId="2613F3E6" w:rsidR="00160E8C" w:rsidRDefault="00160E8C" w:rsidP="00153846">
            <w:pPr>
              <w:pStyle w:val="Heading2"/>
              <w:outlineLvl w:val="1"/>
            </w:pPr>
            <w:r>
              <w:t>National Gallery of Victoria</w:t>
            </w:r>
          </w:p>
          <w:p w14:paraId="74984C70" w14:textId="520835C8" w:rsidR="00160E8C" w:rsidRDefault="00160E8C" w:rsidP="00153846">
            <w:r>
              <w:t xml:space="preserve">The </w:t>
            </w:r>
            <w:r w:rsidR="002D75FC">
              <w:t>NGV</w:t>
            </w:r>
            <w:r>
              <w:t>’s collection includes objects from Egypt, Greece and Rome</w:t>
            </w:r>
            <w:r w:rsidR="00423895">
              <w:t xml:space="preserve"> that relate to aspects of the Ancient History study design</w:t>
            </w:r>
            <w:r>
              <w:t>.</w:t>
            </w:r>
          </w:p>
          <w:p w14:paraId="74222A43" w14:textId="4BC984BA" w:rsidR="00160E8C" w:rsidRDefault="00151E05" w:rsidP="0044670E">
            <w:pPr>
              <w:pStyle w:val="Heading3"/>
              <w:outlineLvl w:val="2"/>
            </w:pPr>
            <w:r>
              <w:rPr>
                <w:noProof/>
                <w:color w:val="0000FF"/>
                <w:lang w:eastAsia="en-AU"/>
              </w:rPr>
              <w:drawing>
                <wp:anchor distT="0" distB="0" distL="114300" distR="114300" simplePos="0" relativeHeight="251665408" behindDoc="1" locked="0" layoutInCell="1" allowOverlap="1" wp14:anchorId="32D39E02" wp14:editId="1BE1827F">
                  <wp:simplePos x="0" y="0"/>
                  <wp:positionH relativeFrom="column">
                    <wp:posOffset>3110865</wp:posOffset>
                  </wp:positionH>
                  <wp:positionV relativeFrom="paragraph">
                    <wp:posOffset>130810</wp:posOffset>
                  </wp:positionV>
                  <wp:extent cx="1534795" cy="2189480"/>
                  <wp:effectExtent l="0" t="0" r="8255" b="1270"/>
                  <wp:wrapSquare wrapText="bothSides"/>
                  <wp:docPr id="14" name="Picture 14" descr="Head covering of Padihorpasherase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d covering of Padihorpasheraset">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448"/>
                          <a:stretch/>
                        </pic:blipFill>
                        <pic:spPr bwMode="auto">
                          <a:xfrm>
                            <a:off x="0" y="0"/>
                            <a:ext cx="1534795"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E8C">
              <w:t>Care for the dead in ancient Egypt</w:t>
            </w:r>
          </w:p>
          <w:p w14:paraId="28CED49D" w14:textId="74CF36E5" w:rsidR="00160E8C" w:rsidRDefault="00160E8C" w:rsidP="007A514E">
            <w:r>
              <w:t xml:space="preserve">Much of the Egyptian collection </w:t>
            </w:r>
            <w:r w:rsidR="003C4466">
              <w:t>consists of</w:t>
            </w:r>
            <w:r>
              <w:t xml:space="preserve"> objects associated with the dead. This includes objects associated with the bodies of the dead, such as a coffin, funerary mask, canopic jar and canopic box. The rich and detailed decoration of some of these objects </w:t>
            </w:r>
            <w:r w:rsidR="0095127B">
              <w:t>illustrate</w:t>
            </w:r>
            <w:r>
              <w:t xml:space="preserve"> the amount of money that the Egyptians were willing to spend to ensure a good afterlife and therefore the importance of this in Egyptian culture.</w:t>
            </w:r>
          </w:p>
          <w:p w14:paraId="42AC040D" w14:textId="65E298FA" w:rsidR="00160E8C" w:rsidRDefault="00160E8C" w:rsidP="0095127B">
            <w:r>
              <w:t xml:space="preserve">Several stone reliefs from tombs depict the deceased making offerings to gods. </w:t>
            </w:r>
            <w:r w:rsidR="0095127B">
              <w:t>These can give us some insight into Egyptian society, as they mention aspects of the deceased’s life, such as their role as an official or members of their family</w:t>
            </w:r>
            <w:r>
              <w:t>.</w:t>
            </w:r>
          </w:p>
          <w:p w14:paraId="43AEB60D" w14:textId="45C365FA" w:rsidR="00160E8C" w:rsidRDefault="003C4466" w:rsidP="0095127B">
            <w:r>
              <w:t>In addition, t</w:t>
            </w:r>
            <w:r w:rsidR="00160E8C">
              <w:t xml:space="preserve">he collection features </w:t>
            </w:r>
            <w:r w:rsidR="0095127B">
              <w:t xml:space="preserve">models from tombs of things that the deceased was thought to need in the afterlife, including a boat and a female servant. </w:t>
            </w:r>
            <w:r w:rsidR="00160E8C">
              <w:t>The servant stand</w:t>
            </w:r>
            <w:r>
              <w:t>s</w:t>
            </w:r>
            <w:r w:rsidR="00160E8C">
              <w:t xml:space="preserve"> as a reminder of the hierarchical nature of Egyptian society.</w:t>
            </w:r>
          </w:p>
          <w:p w14:paraId="2EAD3603" w14:textId="4F392C25" w:rsidR="00160E8C" w:rsidRDefault="0021545F" w:rsidP="00906E32">
            <w:pPr>
              <w:pStyle w:val="Heading3"/>
              <w:outlineLvl w:val="2"/>
            </w:pPr>
            <w:r>
              <w:rPr>
                <w:noProof/>
                <w:lang w:eastAsia="en-AU"/>
              </w:rPr>
              <w:drawing>
                <wp:anchor distT="0" distB="0" distL="114300" distR="114300" simplePos="0" relativeHeight="251667456" behindDoc="0" locked="0" layoutInCell="1" allowOverlap="1" wp14:anchorId="16B1B4CC" wp14:editId="5B5DCBF9">
                  <wp:simplePos x="0" y="0"/>
                  <wp:positionH relativeFrom="column">
                    <wp:posOffset>635</wp:posOffset>
                  </wp:positionH>
                  <wp:positionV relativeFrom="paragraph">
                    <wp:posOffset>209550</wp:posOffset>
                  </wp:positionV>
                  <wp:extent cx="1045210" cy="128079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326" t="35918" r="23872" b="22352"/>
                          <a:stretch/>
                        </pic:blipFill>
                        <pic:spPr bwMode="auto">
                          <a:xfrm>
                            <a:off x="0" y="0"/>
                            <a:ext cx="1045210" cy="128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8C">
              <w:t>Care for the dead in ancient Greece</w:t>
            </w:r>
          </w:p>
          <w:p w14:paraId="3DEBB336" w14:textId="5F5F7236" w:rsidR="00762C3C" w:rsidRDefault="00160E8C" w:rsidP="00C43205">
            <w:r>
              <w:t>Several Greek vases attest to care for the dead in ancient Greece. A geometric vase (c. 700 BCE) depicts a corpse surrounded by mourners. A white-ground Lekythos (460-455 BCE) portrays two women bringing offerings to a tomb. The vase itself is a type that was filled with oil and left at tombs as offerings for the dead. Two vases from Italy (one from Apulia and one from Campania) depict people bringing offerings to tombs. The important role of women in funeral rites can be seen from their presence on all these vases.</w:t>
            </w:r>
          </w:p>
          <w:p w14:paraId="3A0CD57D" w14:textId="32024796" w:rsidR="00160E8C" w:rsidRDefault="00151E05" w:rsidP="000D59F0">
            <w:pPr>
              <w:pStyle w:val="Heading3"/>
              <w:outlineLvl w:val="2"/>
            </w:pPr>
            <w:r>
              <w:rPr>
                <w:noProof/>
                <w:color w:val="0000FF"/>
                <w:lang w:eastAsia="en-AU"/>
              </w:rPr>
              <w:drawing>
                <wp:anchor distT="0" distB="0" distL="114300" distR="114300" simplePos="0" relativeHeight="251664384" behindDoc="1" locked="0" layoutInCell="1" allowOverlap="1" wp14:anchorId="028A9D8A" wp14:editId="0E521F06">
                  <wp:simplePos x="0" y="0"/>
                  <wp:positionH relativeFrom="column">
                    <wp:posOffset>2828925</wp:posOffset>
                  </wp:positionH>
                  <wp:positionV relativeFrom="paragraph">
                    <wp:posOffset>142240</wp:posOffset>
                  </wp:positionV>
                  <wp:extent cx="1821180" cy="1333500"/>
                  <wp:effectExtent l="0" t="0" r="7620" b="0"/>
                  <wp:wrapSquare wrapText="bothSides"/>
                  <wp:docPr id="13" name="Picture 13" descr="Psykter amphora (Chalkidian black-figure wa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ykter amphora (Chalkidian black-figure ware)">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73" t="36376" r="20514" b="27361"/>
                          <a:stretch/>
                        </pic:blipFill>
                        <pic:spPr bwMode="auto">
                          <a:xfrm>
                            <a:off x="0" y="0"/>
                            <a:ext cx="182118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E8C">
              <w:t>Warfare in ancient Greece</w:t>
            </w:r>
          </w:p>
          <w:p w14:paraId="400F4886" w14:textId="75614346" w:rsidR="00160E8C" w:rsidRDefault="00160E8C" w:rsidP="00153846">
            <w:r>
              <w:t>Several of the vases in the collection include depictions of mythological fights, including the Trojan War. The prevalence of scenes of fighting highlights the valorisation of war in ancient Greek culture. In the Apulian vase depicting a tomb, the deceased is portrayed with a breastplate hanging next to him, attesting to the importance of warfare in men’s actual lives.</w:t>
            </w:r>
          </w:p>
          <w:p w14:paraId="3929C0D5" w14:textId="6AE1B08A" w:rsidR="00160E8C" w:rsidRDefault="00160E8C" w:rsidP="00FE38B5">
            <w:pPr>
              <w:pStyle w:val="Heading3"/>
              <w:outlineLvl w:val="2"/>
            </w:pPr>
            <w:r>
              <w:t>Greeks and the Mediterranean</w:t>
            </w:r>
          </w:p>
          <w:p w14:paraId="41458294" w14:textId="6F3E8289" w:rsidR="00160E8C" w:rsidRDefault="00F62F4F" w:rsidP="00153846">
            <w:r>
              <w:rPr>
                <w:noProof/>
                <w:color w:val="0000FF"/>
                <w:lang w:eastAsia="en-AU"/>
              </w:rPr>
              <w:drawing>
                <wp:anchor distT="0" distB="0" distL="114300" distR="114300" simplePos="0" relativeHeight="251663360" behindDoc="1" locked="0" layoutInCell="1" allowOverlap="1" wp14:anchorId="6E22FBD9" wp14:editId="06E6D377">
                  <wp:simplePos x="0" y="0"/>
                  <wp:positionH relativeFrom="column">
                    <wp:posOffset>10795</wp:posOffset>
                  </wp:positionH>
                  <wp:positionV relativeFrom="paragraph">
                    <wp:posOffset>26670</wp:posOffset>
                  </wp:positionV>
                  <wp:extent cx="709295" cy="1165860"/>
                  <wp:effectExtent l="0" t="0" r="0" b="0"/>
                  <wp:wrapSquare wrapText="bothSides"/>
                  <wp:docPr id="12" name="Picture 12" descr="Olpe (Corinthian black-figure wa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pe (Corinthian black-figure war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929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E8C">
              <w:t>Vases of different styles illustrate the interaction of Greeks around the Mediterranean. A Corinthian vase from the 7</w:t>
            </w:r>
            <w:r w:rsidR="00160E8C" w:rsidRPr="00AC52EE">
              <w:rPr>
                <w:vertAlign w:val="superscript"/>
              </w:rPr>
              <w:t>th</w:t>
            </w:r>
            <w:r w:rsidR="00160E8C">
              <w:t xml:space="preserve"> century BCE with bands of animals shows Near Eastern influence on the Greeks. A similar vase from Etruria is an imitation of the Corinthian style, attesting to the trade between Etruria and Greece.</w:t>
            </w:r>
          </w:p>
          <w:p w14:paraId="52BDCA33" w14:textId="21657DE4" w:rsidR="00160E8C" w:rsidRDefault="00D91088" w:rsidP="00153846">
            <w:r>
              <w:rPr>
                <w:noProof/>
                <w:lang w:eastAsia="en-AU"/>
              </w:rPr>
              <w:drawing>
                <wp:anchor distT="0" distB="0" distL="114300" distR="114300" simplePos="0" relativeHeight="251666432" behindDoc="1" locked="0" layoutInCell="1" allowOverlap="1" wp14:anchorId="37F3BDDB" wp14:editId="4ADD14A2">
                  <wp:simplePos x="0" y="0"/>
                  <wp:positionH relativeFrom="column">
                    <wp:posOffset>2621280</wp:posOffset>
                  </wp:positionH>
                  <wp:positionV relativeFrom="paragraph">
                    <wp:posOffset>399415</wp:posOffset>
                  </wp:positionV>
                  <wp:extent cx="1206500" cy="14389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822" t="8794" r="10539" b="17144"/>
                          <a:stretch/>
                        </pic:blipFill>
                        <pic:spPr bwMode="auto">
                          <a:xfrm>
                            <a:off x="0" y="0"/>
                            <a:ext cx="1206500"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8C">
              <w:t xml:space="preserve">A variety of </w:t>
            </w:r>
            <w:r w:rsidR="0021545F">
              <w:t xml:space="preserve">Greek </w:t>
            </w:r>
            <w:r w:rsidR="00160E8C">
              <w:t>vases from southern Italy show the spread of Greek settlers and Greek culture through colonisation.</w:t>
            </w:r>
          </w:p>
          <w:p w14:paraId="4B7C86BB" w14:textId="45928783" w:rsidR="00160E8C" w:rsidRDefault="00160E8C" w:rsidP="00906E32">
            <w:pPr>
              <w:pStyle w:val="Heading3"/>
              <w:outlineLvl w:val="2"/>
            </w:pPr>
            <w:r>
              <w:t>Politics in ancient Rome</w:t>
            </w:r>
          </w:p>
          <w:p w14:paraId="0C94BC4A" w14:textId="43C439EC" w:rsidR="00DD67D6" w:rsidRPr="000A285A" w:rsidRDefault="00160E8C" w:rsidP="00423895">
            <w:r>
              <w:t>The imperial system which was the legacy of Augustus saw increasing power and prestige in the hands of the emperors. Their images appeared throughout the Roman Empire, on coins, on reliefs and as free-standing statues. The Gallery holds two examples of sculptures depicting Roman emperors – one of Vespasian (ruled 69-79 CE) and one of Septimius Severus (ruled 193-211 CE).</w:t>
            </w:r>
          </w:p>
        </w:tc>
      </w:tr>
      <w:tr w:rsidR="003C5095" w14:paraId="231217E7" w14:textId="77777777" w:rsidTr="00830FB9">
        <w:trPr>
          <w:trHeight w:val="4487"/>
        </w:trPr>
        <w:tc>
          <w:tcPr>
            <w:tcW w:w="2972" w:type="dxa"/>
            <w:tcBorders>
              <w:top w:val="nil"/>
              <w:bottom w:val="single" w:sz="6" w:space="0" w:color="A6A6A6" w:themeColor="background1" w:themeShade="A6"/>
              <w:right w:val="single" w:sz="6" w:space="0" w:color="A6A6A6" w:themeColor="background1" w:themeShade="A6"/>
            </w:tcBorders>
          </w:tcPr>
          <w:p w14:paraId="72C2F3A8" w14:textId="586A7B0A" w:rsidR="00F26ED5" w:rsidRDefault="002D75FC" w:rsidP="00F26ED5">
            <w:pPr>
              <w:pStyle w:val="Heading2"/>
              <w:outlineLvl w:val="1"/>
            </w:pPr>
            <w:r>
              <w:t>Activities</w:t>
            </w:r>
            <w:r w:rsidR="00F26ED5">
              <w:t xml:space="preserve"> at the </w:t>
            </w:r>
            <w:r>
              <w:t>NGV</w:t>
            </w:r>
          </w:p>
          <w:p w14:paraId="4486AD31" w14:textId="77777777" w:rsidR="00160E8C" w:rsidRDefault="002D75FC" w:rsidP="00762C3C">
            <w:r>
              <w:t xml:space="preserve">The NGV offers </w:t>
            </w:r>
            <w:r w:rsidR="00CB535C">
              <w:t>many</w:t>
            </w:r>
            <w:r>
              <w:t xml:space="preserve"> learning experiences for students</w:t>
            </w:r>
            <w:r w:rsidR="00C66A45">
              <w:t>, including talks, interactive activities and tours</w:t>
            </w:r>
            <w:r w:rsidR="00C61095">
              <w:t xml:space="preserve">. These </w:t>
            </w:r>
            <w:r w:rsidR="00762C3C">
              <w:t xml:space="preserve">are focused on visiting exhibitions or elements of the permanent exhibition. Tours following themes related to </w:t>
            </w:r>
            <w:r w:rsidR="00CB535C">
              <w:t xml:space="preserve">a variety of school </w:t>
            </w:r>
            <w:r w:rsidR="00C66A45">
              <w:t>subjects</w:t>
            </w:r>
            <w:r w:rsidR="00762C3C">
              <w:t xml:space="preserve"> are also available</w:t>
            </w:r>
            <w:r w:rsidR="00F415D1">
              <w:t>.</w:t>
            </w:r>
          </w:p>
          <w:p w14:paraId="7DAF1307" w14:textId="77777777" w:rsidR="000A285A" w:rsidRDefault="000A285A" w:rsidP="00762C3C"/>
          <w:p w14:paraId="2F124213" w14:textId="77777777" w:rsidR="00387174" w:rsidRDefault="00387174" w:rsidP="00762C3C"/>
          <w:p w14:paraId="63B260D7" w14:textId="77777777" w:rsidR="000A285A" w:rsidRDefault="000A285A" w:rsidP="00762C3C"/>
          <w:p w14:paraId="451C96C0" w14:textId="77777777" w:rsidR="000A285A" w:rsidRPr="00387174" w:rsidRDefault="000A285A" w:rsidP="000A285A">
            <w:pPr>
              <w:pStyle w:val="Heading3"/>
              <w:outlineLvl w:val="2"/>
              <w:rPr>
                <w:b w:val="0"/>
                <w:sz w:val="20"/>
                <w:szCs w:val="20"/>
              </w:rPr>
            </w:pPr>
            <w:r w:rsidRPr="00387174">
              <w:rPr>
                <w:b w:val="0"/>
                <w:sz w:val="20"/>
                <w:szCs w:val="20"/>
              </w:rPr>
              <w:t>NGV Image Credits</w:t>
            </w:r>
          </w:p>
          <w:p w14:paraId="00F44B1C" w14:textId="77777777" w:rsidR="000A285A" w:rsidRPr="00387174" w:rsidRDefault="000A285A" w:rsidP="000A285A">
            <w:pPr>
              <w:spacing w:after="0"/>
              <w:ind w:left="142" w:hanging="142"/>
              <w:rPr>
                <w:rFonts w:ascii="Calibri" w:eastAsia="Times New Roman" w:hAnsi="Calibri" w:cs="Calibri"/>
                <w:color w:val="000000"/>
                <w:sz w:val="16"/>
                <w:szCs w:val="16"/>
                <w:lang w:eastAsia="en-AU"/>
              </w:rPr>
            </w:pPr>
            <w:r w:rsidRPr="00A2083E">
              <w:rPr>
                <w:rFonts w:ascii="Calibri" w:eastAsia="Times New Roman" w:hAnsi="Calibri" w:cs="Calibri"/>
                <w:color w:val="000000"/>
                <w:sz w:val="16"/>
                <w:szCs w:val="16"/>
                <w:lang w:eastAsia="en-AU"/>
              </w:rPr>
              <w:t>Head covering of Padihorpasheraset</w:t>
            </w:r>
            <w:r w:rsidRPr="00387174">
              <w:rPr>
                <w:rFonts w:ascii="Calibri" w:eastAsia="Times New Roman" w:hAnsi="Calibri" w:cs="Calibri"/>
                <w:color w:val="000000"/>
                <w:sz w:val="16"/>
                <w:szCs w:val="16"/>
                <w:lang w:eastAsia="en-AU"/>
              </w:rPr>
              <w:t xml:space="preserve">, </w:t>
            </w:r>
            <w:r w:rsidRPr="00A2083E">
              <w:rPr>
                <w:rFonts w:ascii="Calibri" w:eastAsia="Times New Roman" w:hAnsi="Calibri" w:cs="Calibri"/>
                <w:color w:val="000000"/>
                <w:sz w:val="16"/>
                <w:szCs w:val="16"/>
                <w:lang w:eastAsia="en-AU"/>
              </w:rPr>
              <w:t>1st century CE</w:t>
            </w:r>
            <w:r w:rsidRPr="00387174">
              <w:rPr>
                <w:rFonts w:ascii="Calibri" w:eastAsia="Times New Roman" w:hAnsi="Calibri" w:cs="Calibri"/>
                <w:color w:val="000000"/>
                <w:sz w:val="16"/>
                <w:szCs w:val="16"/>
                <w:lang w:eastAsia="en-AU"/>
              </w:rPr>
              <w:t>–</w:t>
            </w:r>
            <w:r w:rsidRPr="00A2083E">
              <w:rPr>
                <w:rFonts w:ascii="Calibri" w:eastAsia="Times New Roman" w:hAnsi="Calibri" w:cs="Calibri"/>
                <w:color w:val="000000"/>
                <w:sz w:val="16"/>
                <w:szCs w:val="16"/>
                <w:lang w:eastAsia="en-AU"/>
              </w:rPr>
              <w:t>2nd century CE</w:t>
            </w:r>
          </w:p>
          <w:p w14:paraId="00E537F5" w14:textId="3FCAD74C" w:rsidR="000A285A" w:rsidRPr="00387174" w:rsidRDefault="000A285A" w:rsidP="000A285A">
            <w:pPr>
              <w:spacing w:after="0"/>
              <w:ind w:left="142" w:hanging="142"/>
              <w:rPr>
                <w:rFonts w:ascii="Calibri" w:eastAsia="Times New Roman" w:hAnsi="Calibri" w:cs="Calibri"/>
                <w:color w:val="000000"/>
                <w:sz w:val="16"/>
                <w:szCs w:val="16"/>
                <w:lang w:eastAsia="en-AU"/>
              </w:rPr>
            </w:pPr>
            <w:r w:rsidRPr="00A2083E">
              <w:rPr>
                <w:rFonts w:ascii="Calibri" w:eastAsia="Times New Roman" w:hAnsi="Calibri" w:cs="Calibri"/>
                <w:color w:val="000000"/>
                <w:sz w:val="16"/>
                <w:szCs w:val="16"/>
                <w:lang w:eastAsia="en-AU"/>
              </w:rPr>
              <w:t>Le</w:t>
            </w:r>
            <w:r w:rsidRPr="00387174">
              <w:rPr>
                <w:rFonts w:ascii="Calibri" w:eastAsia="Times New Roman" w:hAnsi="Calibri" w:cs="Calibri"/>
                <w:color w:val="000000"/>
                <w:sz w:val="16"/>
                <w:szCs w:val="16"/>
                <w:lang w:eastAsia="en-AU"/>
              </w:rPr>
              <w:t xml:space="preserve">kythos (Attic white-ground ware), </w:t>
            </w:r>
            <w:r w:rsidRPr="00A2083E">
              <w:rPr>
                <w:rFonts w:ascii="Calibri" w:eastAsia="Times New Roman" w:hAnsi="Calibri" w:cs="Calibri"/>
                <w:color w:val="000000"/>
                <w:sz w:val="16"/>
                <w:szCs w:val="16"/>
                <w:lang w:eastAsia="en-AU"/>
              </w:rPr>
              <w:t xml:space="preserve"> 460 BCE</w:t>
            </w:r>
            <w:r w:rsidRPr="00387174">
              <w:rPr>
                <w:rFonts w:ascii="Calibri" w:eastAsia="Times New Roman" w:hAnsi="Calibri" w:cs="Calibri"/>
                <w:color w:val="000000"/>
                <w:sz w:val="16"/>
                <w:szCs w:val="16"/>
                <w:lang w:eastAsia="en-AU"/>
              </w:rPr>
              <w:t>–</w:t>
            </w:r>
            <w:r w:rsidRPr="00A2083E">
              <w:rPr>
                <w:rFonts w:ascii="Calibri" w:eastAsia="Times New Roman" w:hAnsi="Calibri" w:cs="Calibri"/>
                <w:color w:val="000000"/>
                <w:sz w:val="16"/>
                <w:szCs w:val="16"/>
                <w:lang w:eastAsia="en-AU"/>
              </w:rPr>
              <w:t>450 BCE</w:t>
            </w:r>
          </w:p>
          <w:p w14:paraId="74A06DDE" w14:textId="77777777" w:rsidR="000A285A" w:rsidRPr="00387174" w:rsidRDefault="000A285A" w:rsidP="000A285A">
            <w:pPr>
              <w:spacing w:after="0"/>
              <w:ind w:left="142" w:hanging="142"/>
              <w:rPr>
                <w:rFonts w:ascii="Calibri" w:eastAsia="Times New Roman" w:hAnsi="Calibri" w:cs="Calibri"/>
                <w:color w:val="000000"/>
                <w:sz w:val="16"/>
                <w:szCs w:val="16"/>
                <w:lang w:eastAsia="en-AU"/>
              </w:rPr>
            </w:pPr>
            <w:r w:rsidRPr="00A2083E">
              <w:rPr>
                <w:rFonts w:ascii="Calibri" w:eastAsia="Times New Roman" w:hAnsi="Calibri" w:cs="Calibri"/>
                <w:color w:val="000000"/>
                <w:sz w:val="16"/>
                <w:szCs w:val="16"/>
                <w:lang w:eastAsia="en-AU"/>
              </w:rPr>
              <w:t>Psykter amphora (Chalkidian black-figure ware)</w:t>
            </w:r>
            <w:r w:rsidRPr="00387174">
              <w:rPr>
                <w:rFonts w:ascii="Calibri" w:eastAsia="Times New Roman" w:hAnsi="Calibri" w:cs="Calibri"/>
                <w:color w:val="000000"/>
                <w:sz w:val="16"/>
                <w:szCs w:val="16"/>
                <w:lang w:eastAsia="en-AU"/>
              </w:rPr>
              <w:t xml:space="preserve">, </w:t>
            </w:r>
            <w:r w:rsidRPr="00A2083E">
              <w:rPr>
                <w:rFonts w:ascii="Calibri" w:eastAsia="Times New Roman" w:hAnsi="Calibri" w:cs="Calibri"/>
                <w:color w:val="000000"/>
                <w:sz w:val="16"/>
                <w:szCs w:val="16"/>
                <w:lang w:eastAsia="en-AU"/>
              </w:rPr>
              <w:t>540 BCE</w:t>
            </w:r>
          </w:p>
          <w:p w14:paraId="0151BBB4" w14:textId="77777777" w:rsidR="000A285A" w:rsidRPr="00387174" w:rsidRDefault="000A285A" w:rsidP="000A285A">
            <w:pPr>
              <w:spacing w:after="0"/>
              <w:ind w:left="142" w:hanging="142"/>
              <w:rPr>
                <w:rFonts w:ascii="Calibri" w:eastAsia="Times New Roman" w:hAnsi="Calibri" w:cs="Calibri"/>
                <w:color w:val="000000"/>
                <w:sz w:val="16"/>
                <w:szCs w:val="16"/>
                <w:lang w:eastAsia="en-AU"/>
              </w:rPr>
            </w:pPr>
            <w:r w:rsidRPr="00A2083E">
              <w:rPr>
                <w:rFonts w:ascii="Calibri" w:eastAsia="Times New Roman" w:hAnsi="Calibri" w:cs="Calibri"/>
                <w:color w:val="000000"/>
                <w:sz w:val="16"/>
                <w:szCs w:val="16"/>
                <w:lang w:eastAsia="en-AU"/>
              </w:rPr>
              <w:t>Olpe (Corinthian black-figure ware)</w:t>
            </w:r>
            <w:r w:rsidRPr="00387174">
              <w:rPr>
                <w:rFonts w:ascii="Calibri" w:eastAsia="Times New Roman" w:hAnsi="Calibri" w:cs="Calibri"/>
                <w:color w:val="000000"/>
                <w:sz w:val="16"/>
                <w:szCs w:val="16"/>
                <w:lang w:eastAsia="en-AU"/>
              </w:rPr>
              <w:t xml:space="preserve">, </w:t>
            </w:r>
            <w:r w:rsidRPr="00A2083E">
              <w:rPr>
                <w:rFonts w:ascii="Calibri" w:eastAsia="Times New Roman" w:hAnsi="Calibri" w:cs="Calibri"/>
                <w:color w:val="000000"/>
                <w:sz w:val="16"/>
                <w:szCs w:val="16"/>
                <w:lang w:eastAsia="en-AU"/>
              </w:rPr>
              <w:t>630 BCE</w:t>
            </w:r>
            <w:r w:rsidRPr="00387174">
              <w:rPr>
                <w:rFonts w:ascii="Calibri" w:eastAsia="Times New Roman" w:hAnsi="Calibri" w:cs="Calibri"/>
                <w:color w:val="000000"/>
                <w:sz w:val="16"/>
                <w:szCs w:val="16"/>
                <w:lang w:eastAsia="en-AU"/>
              </w:rPr>
              <w:t>–</w:t>
            </w:r>
            <w:r w:rsidRPr="00A2083E">
              <w:rPr>
                <w:rFonts w:ascii="Calibri" w:eastAsia="Times New Roman" w:hAnsi="Calibri" w:cs="Calibri"/>
                <w:color w:val="000000"/>
                <w:sz w:val="16"/>
                <w:szCs w:val="16"/>
                <w:lang w:eastAsia="en-AU"/>
              </w:rPr>
              <w:t>620 BCE</w:t>
            </w:r>
          </w:p>
          <w:p w14:paraId="792FD8A3" w14:textId="379A9174" w:rsidR="000A285A" w:rsidRPr="000A285A" w:rsidRDefault="000A285A" w:rsidP="000A285A">
            <w:pPr>
              <w:spacing w:after="0"/>
              <w:ind w:left="142" w:hanging="142"/>
            </w:pPr>
            <w:r w:rsidRPr="00A2083E">
              <w:rPr>
                <w:rFonts w:ascii="Calibri" w:eastAsia="Times New Roman" w:hAnsi="Calibri" w:cs="Calibri"/>
                <w:color w:val="000000"/>
                <w:sz w:val="16"/>
                <w:szCs w:val="16"/>
                <w:lang w:eastAsia="en-AU"/>
              </w:rPr>
              <w:t>Head of Vespasian</w:t>
            </w:r>
            <w:r w:rsidRPr="00387174">
              <w:rPr>
                <w:rFonts w:ascii="Calibri" w:eastAsia="Times New Roman" w:hAnsi="Calibri" w:cs="Calibri"/>
                <w:color w:val="000000"/>
                <w:sz w:val="16"/>
                <w:szCs w:val="16"/>
                <w:lang w:eastAsia="en-AU"/>
              </w:rPr>
              <w:t xml:space="preserve">, </w:t>
            </w:r>
            <w:r w:rsidRPr="00A2083E">
              <w:rPr>
                <w:rFonts w:ascii="Calibri" w:eastAsia="Times New Roman" w:hAnsi="Calibri" w:cs="Calibri"/>
                <w:color w:val="000000"/>
                <w:sz w:val="16"/>
                <w:szCs w:val="16"/>
                <w:lang w:eastAsia="en-AU"/>
              </w:rPr>
              <w:t>50 CE</w:t>
            </w:r>
            <w:r w:rsidRPr="00387174">
              <w:rPr>
                <w:rFonts w:ascii="Calibri" w:eastAsia="Times New Roman" w:hAnsi="Calibri" w:cs="Calibri"/>
                <w:color w:val="000000"/>
                <w:sz w:val="16"/>
                <w:szCs w:val="16"/>
                <w:lang w:eastAsia="en-AU"/>
              </w:rPr>
              <w:t>–</w:t>
            </w:r>
            <w:r w:rsidRPr="00A2083E">
              <w:rPr>
                <w:rFonts w:ascii="Calibri" w:eastAsia="Times New Roman" w:hAnsi="Calibri" w:cs="Calibri"/>
                <w:color w:val="000000"/>
                <w:sz w:val="16"/>
                <w:szCs w:val="16"/>
                <w:lang w:eastAsia="en-AU"/>
              </w:rPr>
              <w:t>80 CE</w:t>
            </w:r>
          </w:p>
        </w:tc>
        <w:tc>
          <w:tcPr>
            <w:tcW w:w="7484" w:type="dxa"/>
            <w:vMerge/>
            <w:tcBorders>
              <w:top w:val="nil"/>
              <w:left w:val="single" w:sz="6" w:space="0" w:color="A6A6A6" w:themeColor="background1" w:themeShade="A6"/>
            </w:tcBorders>
          </w:tcPr>
          <w:p w14:paraId="3B96CBB8" w14:textId="77777777" w:rsidR="00160E8C" w:rsidRDefault="00160E8C" w:rsidP="00153846">
            <w:pPr>
              <w:pStyle w:val="Heading2"/>
              <w:outlineLvl w:val="1"/>
            </w:pPr>
          </w:p>
        </w:tc>
      </w:tr>
    </w:tbl>
    <w:p w14:paraId="773626B2" w14:textId="77777777" w:rsidR="00301A5C" w:rsidRPr="00C20EAE" w:rsidRDefault="00301A5C" w:rsidP="00C20EAE"/>
    <w:sectPr w:rsidR="00301A5C" w:rsidRPr="00C20EAE" w:rsidSect="00101356">
      <w:footerReference w:type="default" r:id="rId27"/>
      <w:pgSz w:w="11906" w:h="16838"/>
      <w:pgMar w:top="567" w:right="720" w:bottom="567" w:left="720" w:header="709" w:footer="1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4B066" w14:textId="77777777" w:rsidR="003063DA" w:rsidRDefault="003063DA" w:rsidP="00101356">
      <w:pPr>
        <w:spacing w:after="0" w:line="240" w:lineRule="auto"/>
      </w:pPr>
      <w:r>
        <w:separator/>
      </w:r>
    </w:p>
  </w:endnote>
  <w:endnote w:type="continuationSeparator" w:id="0">
    <w:p w14:paraId="4C34C48C" w14:textId="77777777" w:rsidR="003063DA" w:rsidRDefault="003063DA" w:rsidP="0010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6224" w14:textId="6E7AD1FB" w:rsidR="00101356" w:rsidRPr="00101356" w:rsidRDefault="00101356">
    <w:pPr>
      <w:pStyle w:val="Footer"/>
      <w:rPr>
        <w:lang w:val="en-GB"/>
      </w:rPr>
    </w:pPr>
    <w:r>
      <w:rPr>
        <w:lang w:val="en-GB"/>
      </w:rPr>
      <w:t>HTAV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43540" w14:textId="77777777" w:rsidR="003063DA" w:rsidRDefault="003063DA" w:rsidP="00101356">
      <w:pPr>
        <w:spacing w:after="0" w:line="240" w:lineRule="auto"/>
      </w:pPr>
      <w:r>
        <w:separator/>
      </w:r>
    </w:p>
  </w:footnote>
  <w:footnote w:type="continuationSeparator" w:id="0">
    <w:p w14:paraId="107A51C9" w14:textId="77777777" w:rsidR="003063DA" w:rsidRDefault="003063DA" w:rsidP="00101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AD6CB5"/>
    <w:multiLevelType w:val="hybridMultilevel"/>
    <w:tmpl w:val="600C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EAE"/>
    <w:rsid w:val="00052C02"/>
    <w:rsid w:val="00080DB9"/>
    <w:rsid w:val="000A285A"/>
    <w:rsid w:val="000D59F0"/>
    <w:rsid w:val="000E0BAC"/>
    <w:rsid w:val="000F5D78"/>
    <w:rsid w:val="00101356"/>
    <w:rsid w:val="00111B61"/>
    <w:rsid w:val="0015080E"/>
    <w:rsid w:val="00151E05"/>
    <w:rsid w:val="00160E8C"/>
    <w:rsid w:val="001622C7"/>
    <w:rsid w:val="00197A92"/>
    <w:rsid w:val="001A36CA"/>
    <w:rsid w:val="001B0F94"/>
    <w:rsid w:val="001C1A93"/>
    <w:rsid w:val="0021545F"/>
    <w:rsid w:val="00244848"/>
    <w:rsid w:val="002D75FC"/>
    <w:rsid w:val="002F68A7"/>
    <w:rsid w:val="00301A5C"/>
    <w:rsid w:val="003063DA"/>
    <w:rsid w:val="00337CAB"/>
    <w:rsid w:val="0035072D"/>
    <w:rsid w:val="00387174"/>
    <w:rsid w:val="0039207B"/>
    <w:rsid w:val="003979DE"/>
    <w:rsid w:val="003C4466"/>
    <w:rsid w:val="003C5095"/>
    <w:rsid w:val="00423895"/>
    <w:rsid w:val="0044670E"/>
    <w:rsid w:val="00446F88"/>
    <w:rsid w:val="005305A6"/>
    <w:rsid w:val="005602AB"/>
    <w:rsid w:val="005704B5"/>
    <w:rsid w:val="00590FDE"/>
    <w:rsid w:val="005911E5"/>
    <w:rsid w:val="0065714C"/>
    <w:rsid w:val="006839DE"/>
    <w:rsid w:val="006A375F"/>
    <w:rsid w:val="006C70A6"/>
    <w:rsid w:val="006E3B90"/>
    <w:rsid w:val="006F76EC"/>
    <w:rsid w:val="007613FA"/>
    <w:rsid w:val="00762C3C"/>
    <w:rsid w:val="007675A7"/>
    <w:rsid w:val="007A514E"/>
    <w:rsid w:val="00830FB9"/>
    <w:rsid w:val="00906E32"/>
    <w:rsid w:val="00915819"/>
    <w:rsid w:val="0093168D"/>
    <w:rsid w:val="00943F87"/>
    <w:rsid w:val="0095127B"/>
    <w:rsid w:val="009726B6"/>
    <w:rsid w:val="009B1FB2"/>
    <w:rsid w:val="00A0046B"/>
    <w:rsid w:val="00AC52EE"/>
    <w:rsid w:val="00AE15F8"/>
    <w:rsid w:val="00AE43CB"/>
    <w:rsid w:val="00B20332"/>
    <w:rsid w:val="00B2362A"/>
    <w:rsid w:val="00B44A47"/>
    <w:rsid w:val="00BA4246"/>
    <w:rsid w:val="00BD4A9F"/>
    <w:rsid w:val="00BF6974"/>
    <w:rsid w:val="00C20EAE"/>
    <w:rsid w:val="00C43205"/>
    <w:rsid w:val="00C55F1A"/>
    <w:rsid w:val="00C61095"/>
    <w:rsid w:val="00C66A45"/>
    <w:rsid w:val="00CB535C"/>
    <w:rsid w:val="00CC1E55"/>
    <w:rsid w:val="00D367AF"/>
    <w:rsid w:val="00D47410"/>
    <w:rsid w:val="00D91088"/>
    <w:rsid w:val="00D95A30"/>
    <w:rsid w:val="00DA3606"/>
    <w:rsid w:val="00DD67D6"/>
    <w:rsid w:val="00E52D5B"/>
    <w:rsid w:val="00F135C9"/>
    <w:rsid w:val="00F2496D"/>
    <w:rsid w:val="00F26ED5"/>
    <w:rsid w:val="00F415D1"/>
    <w:rsid w:val="00F62F4F"/>
    <w:rsid w:val="00FE38B5"/>
    <w:rsid w:val="00FE7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81485"/>
  <w15:docId w15:val="{E38A64DE-D1A5-4DB4-AD7D-046266DD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5A7"/>
    <w:pPr>
      <w:spacing w:after="120"/>
    </w:pPr>
    <w:rPr>
      <w:sz w:val="20"/>
    </w:rPr>
  </w:style>
  <w:style w:type="paragraph" w:styleId="Heading1">
    <w:name w:val="heading 1"/>
    <w:basedOn w:val="Normal"/>
    <w:next w:val="Normal"/>
    <w:link w:val="Heading1Char"/>
    <w:uiPriority w:val="9"/>
    <w:qFormat/>
    <w:rsid w:val="005305A6"/>
    <w:pPr>
      <w:keepNext/>
      <w:keepLines/>
      <w:spacing w:before="240" w:after="240" w:line="240" w:lineRule="auto"/>
      <w:jc w:val="center"/>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F135C9"/>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135C9"/>
    <w:pPr>
      <w:keepNext/>
      <w:keepLines/>
      <w:spacing w:before="120" w:after="4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5A6"/>
    <w:rPr>
      <w:rFonts w:asciiTheme="majorHAnsi" w:eastAsiaTheme="majorEastAsia" w:hAnsiTheme="majorHAnsi" w:cstheme="majorBidi"/>
      <w:b/>
      <w:color w:val="2F5496" w:themeColor="accent1" w:themeShade="BF"/>
      <w:sz w:val="40"/>
      <w:szCs w:val="32"/>
    </w:rPr>
  </w:style>
  <w:style w:type="character" w:customStyle="1" w:styleId="Heading2Char">
    <w:name w:val="Heading 2 Char"/>
    <w:basedOn w:val="DefaultParagraphFont"/>
    <w:link w:val="Heading2"/>
    <w:uiPriority w:val="9"/>
    <w:rsid w:val="00F135C9"/>
    <w:rPr>
      <w:rFonts w:asciiTheme="majorHAnsi" w:eastAsiaTheme="majorEastAsia" w:hAnsiTheme="majorHAnsi" w:cstheme="majorBidi"/>
      <w:b/>
      <w:color w:val="2F5496" w:themeColor="accent1" w:themeShade="BF"/>
      <w:sz w:val="26"/>
      <w:szCs w:val="26"/>
    </w:rPr>
  </w:style>
  <w:style w:type="table" w:styleId="TableGrid">
    <w:name w:val="Table Grid"/>
    <w:basedOn w:val="TableNormal"/>
    <w:uiPriority w:val="39"/>
    <w:rsid w:val="00C20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1A5C"/>
    <w:pPr>
      <w:ind w:left="720"/>
      <w:contextualSpacing/>
    </w:pPr>
  </w:style>
  <w:style w:type="character" w:styleId="Hyperlink">
    <w:name w:val="Hyperlink"/>
    <w:basedOn w:val="DefaultParagraphFont"/>
    <w:uiPriority w:val="99"/>
    <w:unhideWhenUsed/>
    <w:rsid w:val="00301A5C"/>
    <w:rPr>
      <w:color w:val="0563C1" w:themeColor="hyperlink"/>
      <w:u w:val="single"/>
    </w:rPr>
  </w:style>
  <w:style w:type="character" w:customStyle="1" w:styleId="UnresolvedMention1">
    <w:name w:val="Unresolved Mention1"/>
    <w:basedOn w:val="DefaultParagraphFont"/>
    <w:uiPriority w:val="99"/>
    <w:semiHidden/>
    <w:unhideWhenUsed/>
    <w:rsid w:val="00301A5C"/>
    <w:rPr>
      <w:color w:val="605E5C"/>
      <w:shd w:val="clear" w:color="auto" w:fill="E1DFDD"/>
    </w:rPr>
  </w:style>
  <w:style w:type="character" w:customStyle="1" w:styleId="Heading3Char">
    <w:name w:val="Heading 3 Char"/>
    <w:basedOn w:val="DefaultParagraphFont"/>
    <w:link w:val="Heading3"/>
    <w:uiPriority w:val="9"/>
    <w:rsid w:val="00F135C9"/>
    <w:rPr>
      <w:rFonts w:asciiTheme="majorHAnsi" w:eastAsiaTheme="majorEastAsia" w:hAnsiTheme="majorHAnsi" w:cstheme="majorBidi"/>
      <w:b/>
      <w:color w:val="2F5496" w:themeColor="accent1" w:themeShade="BF"/>
      <w:sz w:val="24"/>
      <w:szCs w:val="24"/>
    </w:rPr>
  </w:style>
  <w:style w:type="character" w:styleId="FollowedHyperlink">
    <w:name w:val="FollowedHyperlink"/>
    <w:basedOn w:val="DefaultParagraphFont"/>
    <w:uiPriority w:val="99"/>
    <w:semiHidden/>
    <w:unhideWhenUsed/>
    <w:rsid w:val="00B20332"/>
    <w:rPr>
      <w:color w:val="954F72" w:themeColor="followedHyperlink"/>
      <w:u w:val="single"/>
    </w:rPr>
  </w:style>
  <w:style w:type="paragraph" w:styleId="BalloonText">
    <w:name w:val="Balloon Text"/>
    <w:basedOn w:val="Normal"/>
    <w:link w:val="BalloonTextChar"/>
    <w:uiPriority w:val="99"/>
    <w:semiHidden/>
    <w:unhideWhenUsed/>
    <w:rsid w:val="00052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C02"/>
    <w:rPr>
      <w:rFonts w:ascii="Tahoma" w:hAnsi="Tahoma" w:cs="Tahoma"/>
      <w:sz w:val="16"/>
      <w:szCs w:val="16"/>
    </w:rPr>
  </w:style>
  <w:style w:type="paragraph" w:styleId="Header">
    <w:name w:val="header"/>
    <w:basedOn w:val="Normal"/>
    <w:link w:val="HeaderChar"/>
    <w:uiPriority w:val="99"/>
    <w:unhideWhenUsed/>
    <w:rsid w:val="00101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56"/>
    <w:rPr>
      <w:sz w:val="20"/>
    </w:rPr>
  </w:style>
  <w:style w:type="paragraph" w:styleId="Footer">
    <w:name w:val="footer"/>
    <w:basedOn w:val="Normal"/>
    <w:link w:val="FooterChar"/>
    <w:uiPriority w:val="99"/>
    <w:unhideWhenUsed/>
    <w:rsid w:val="00101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5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lenic.org.a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ngv.vic.gov.au/explore/collection/work/397/"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art-museum.unimelb.edu.au/" TargetMode="External"/><Relationship Id="rId19" Type="http://schemas.openxmlformats.org/officeDocument/2006/relationships/hyperlink" Target="https://www.ngv.vic.gov.au/explore/collection/work/55782/" TargetMode="External"/><Relationship Id="rId4" Type="http://schemas.openxmlformats.org/officeDocument/2006/relationships/settings" Target="settings.xml"/><Relationship Id="rId9" Type="http://schemas.openxmlformats.org/officeDocument/2006/relationships/hyperlink" Target="http://www.ngv.vic.gov.au" TargetMode="External"/><Relationship Id="rId14" Type="http://schemas.microsoft.com/office/2007/relationships/hdphoto" Target="media/hdphoto1.wdp"/><Relationship Id="rId22" Type="http://schemas.openxmlformats.org/officeDocument/2006/relationships/hyperlink" Target="https://www.ngv.vic.gov.au/explore/collection/work/1315/"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BC36-01E1-4E63-80B6-D5AEA7A0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Gribbin</dc:creator>
  <cp:keywords/>
  <dc:description/>
  <cp:lastModifiedBy>Katrina Burge</cp:lastModifiedBy>
  <cp:revision>2</cp:revision>
  <cp:lastPrinted>2019-01-29T04:54:00Z</cp:lastPrinted>
  <dcterms:created xsi:type="dcterms:W3CDTF">2019-12-02T01:34:00Z</dcterms:created>
  <dcterms:modified xsi:type="dcterms:W3CDTF">2019-12-02T01:34:00Z</dcterms:modified>
</cp:coreProperties>
</file>